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AA" w:rsidRDefault="00EB20AA" w:rsidP="00AC08D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95AC1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</w:t>
      </w:r>
      <w:r w:rsidR="00C95AC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453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399E">
        <w:rPr>
          <w:rFonts w:ascii="Times New Roman" w:hAnsi="Times New Roman" w:cs="Times New Roman"/>
          <w:sz w:val="24"/>
          <w:szCs w:val="24"/>
          <w:lang w:val="en-US"/>
        </w:rPr>
        <w:t>he demographic characteristics</w:t>
      </w:r>
      <w:r w:rsidR="00AE38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5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99E">
        <w:rPr>
          <w:rFonts w:ascii="Times New Roman" w:hAnsi="Times New Roman" w:cs="Times New Roman"/>
          <w:sz w:val="24"/>
          <w:szCs w:val="24"/>
          <w:lang w:val="en-US"/>
        </w:rPr>
        <w:t xml:space="preserve">clinical </w:t>
      </w:r>
      <w:r>
        <w:rPr>
          <w:rFonts w:ascii="Times New Roman" w:hAnsi="Times New Roman" w:cs="Times New Roman"/>
          <w:sz w:val="24"/>
          <w:szCs w:val="24"/>
          <w:lang w:val="en-US"/>
        </w:rPr>
        <w:t>and laboratory</w:t>
      </w:r>
      <w:r w:rsidRPr="00453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findings of the patients</w:t>
      </w:r>
      <w:r w:rsidR="00E80403">
        <w:rPr>
          <w:rFonts w:ascii="Times New Roman" w:hAnsi="Times New Roman" w:cs="Times New Roman"/>
          <w:sz w:val="24"/>
          <w:szCs w:val="24"/>
          <w:lang w:val="en-US"/>
        </w:rPr>
        <w:t xml:space="preserve"> with acute transverse myelitis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530">
        <w:rPr>
          <w:rFonts w:ascii="Times New Roman" w:hAnsi="Times New Roman" w:cs="Times New Roman"/>
          <w:sz w:val="24"/>
          <w:szCs w:val="24"/>
          <w:lang w:val="en-US"/>
        </w:rPr>
        <w:t>A c</w:t>
      </w:r>
      <w:r w:rsidRPr="0045399E">
        <w:rPr>
          <w:rFonts w:ascii="Times New Roman" w:hAnsi="Times New Roman" w:cs="Times New Roman"/>
          <w:sz w:val="24"/>
          <w:szCs w:val="24"/>
          <w:lang w:val="en-US"/>
        </w:rPr>
        <w:t xml:space="preserve">omparison of the groups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made </w:t>
      </w:r>
      <w:r w:rsidR="00DB1530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taking into account </w:t>
      </w:r>
      <w:r w:rsidRPr="0045399E">
        <w:rPr>
          <w:rFonts w:ascii="Times New Roman" w:hAnsi="Times New Roman" w:cs="Times New Roman"/>
          <w:sz w:val="24"/>
          <w:szCs w:val="24"/>
          <w:lang w:val="en-US"/>
        </w:rPr>
        <w:t>the last Rankin scores at follow-up.</w:t>
      </w:r>
      <w:bookmarkStart w:id="0" w:name="_GoBack"/>
      <w:bookmarkEnd w:id="0"/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126"/>
        <w:gridCol w:w="1985"/>
        <w:gridCol w:w="992"/>
      </w:tblGrid>
      <w:tr w:rsidR="00EB20AA" w:rsidRPr="0045399E" w:rsidTr="00BC24A2">
        <w:tc>
          <w:tcPr>
            <w:tcW w:w="2552" w:type="dxa"/>
            <w:vMerge w:val="restart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Variable </w:t>
            </w:r>
          </w:p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lang w:val="en-US"/>
              </w:rPr>
              <w:t>(mean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5399E">
              <w:rPr>
                <w:rFonts w:ascii="Times New Roman" w:hAnsi="Times New Roman" w:cs="Times New Roman"/>
                <w:b/>
                <w:bCs/>
                <w:lang w:val="en-US"/>
              </w:rPr>
              <w:t>±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5399E">
              <w:rPr>
                <w:rFonts w:ascii="Times New Roman" w:hAnsi="Times New Roman" w:cs="Times New Roman"/>
                <w:b/>
                <w:bCs/>
                <w:lang w:val="en-US"/>
              </w:rPr>
              <w:t>standar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 </w:t>
            </w:r>
            <w:r w:rsidRPr="0045399E">
              <w:rPr>
                <w:rFonts w:ascii="Times New Roman" w:hAnsi="Times New Roman" w:cs="Times New Roman"/>
                <w:b/>
                <w:bCs/>
                <w:lang w:val="en-US"/>
              </w:rPr>
              <w:t>deviation or percentage)</w:t>
            </w:r>
          </w:p>
        </w:tc>
        <w:tc>
          <w:tcPr>
            <w:tcW w:w="1843" w:type="dxa"/>
            <w:vMerge w:val="restart"/>
          </w:tcPr>
          <w:p w:rsidR="00DB1530" w:rsidRDefault="00DB1530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All patients</w:t>
            </w:r>
          </w:p>
        </w:tc>
        <w:tc>
          <w:tcPr>
            <w:tcW w:w="5103" w:type="dxa"/>
            <w:gridSpan w:val="3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The last Rankin score</w:t>
            </w:r>
            <w:r w:rsidR="00DB1530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EB20AA" w:rsidRPr="0045399E" w:rsidTr="00BC24A2">
        <w:tc>
          <w:tcPr>
            <w:tcW w:w="2552" w:type="dxa"/>
            <w:vMerge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3" w:type="dxa"/>
            <w:vMerge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Group of Rankin score &lt;3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Group of Rankin score </w:t>
            </w:r>
            <w:r w:rsidRPr="004539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≥ 3 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-</w:t>
            </w:r>
            <w:r w:rsidRPr="0045399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value</w:t>
            </w:r>
          </w:p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at presentation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8.9±4.3 median 8.9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8.5±4 median 7.7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9.9±4.9 median 12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&gt;0.05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ratio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94/99: 0.95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62/63: 0.98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10/14: 0.71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&gt;0.05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Length of stay (days)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21.7±27 median 13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15.5±11.6 median 12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 ±43 median 36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time (months)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24.5±21.6 median 18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25.9±21.8 median 21.5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23.2±21.6 median 18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&gt;0.05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2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duration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before admission </w:t>
            </w:r>
            <w:r w:rsidRPr="00E82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(days)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6.8±10.4 median 3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5.8±7.1 median 3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7.5±11.4 median 2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&gt;0.05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to nadir (days)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4.84±4.79 median 3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4.7±3.9 median 3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5.26±5.7 median 2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&gt;0.05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hypoactivity at admission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43.8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47/123</w:t>
            </w:r>
            <w:r w:rsidR="00C00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%38.2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15/24</w:t>
            </w:r>
            <w:r w:rsidR="00C00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%62.5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0.028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Rankin scores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8242C" w:rsidRPr="0045399E" w:rsidTr="00BC24A2">
        <w:tc>
          <w:tcPr>
            <w:tcW w:w="2552" w:type="dxa"/>
          </w:tcPr>
          <w:p w:rsidR="0088242C" w:rsidRPr="0088242C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4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955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824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Initial</w:t>
            </w:r>
          </w:p>
        </w:tc>
        <w:tc>
          <w:tcPr>
            <w:tcW w:w="1843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3.6±1.2 median 4</w:t>
            </w:r>
          </w:p>
        </w:tc>
        <w:tc>
          <w:tcPr>
            <w:tcW w:w="2126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3.4±1.2 median 4</w:t>
            </w:r>
          </w:p>
        </w:tc>
        <w:tc>
          <w:tcPr>
            <w:tcW w:w="1985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4.25±1.2 median 5</w:t>
            </w:r>
          </w:p>
        </w:tc>
        <w:tc>
          <w:tcPr>
            <w:tcW w:w="992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0.001</w:t>
            </w:r>
          </w:p>
        </w:tc>
      </w:tr>
      <w:tr w:rsidR="0088242C" w:rsidRPr="0045399E" w:rsidTr="00BC24A2">
        <w:tc>
          <w:tcPr>
            <w:tcW w:w="2552" w:type="dxa"/>
          </w:tcPr>
          <w:p w:rsidR="0088242C" w:rsidRPr="0088242C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4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955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824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discharge</w:t>
            </w:r>
          </w:p>
        </w:tc>
        <w:tc>
          <w:tcPr>
            <w:tcW w:w="1843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2.4±1.4 median 2</w:t>
            </w:r>
          </w:p>
        </w:tc>
        <w:tc>
          <w:tcPr>
            <w:tcW w:w="2126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2±1.1 median 2</w:t>
            </w:r>
          </w:p>
        </w:tc>
        <w:tc>
          <w:tcPr>
            <w:tcW w:w="1985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4.2±0.9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4</w:t>
            </w:r>
          </w:p>
        </w:tc>
        <w:tc>
          <w:tcPr>
            <w:tcW w:w="992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88242C" w:rsidRPr="0045399E" w:rsidTr="00BC24A2">
        <w:tc>
          <w:tcPr>
            <w:tcW w:w="2552" w:type="dxa"/>
          </w:tcPr>
          <w:p w:rsidR="0088242C" w:rsidRPr="0088242C" w:rsidRDefault="0088242C" w:rsidP="008824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4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the last follow-up</w:t>
            </w:r>
          </w:p>
        </w:tc>
        <w:tc>
          <w:tcPr>
            <w:tcW w:w="1843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1±1.4 median 1</w:t>
            </w:r>
          </w:p>
        </w:tc>
        <w:tc>
          <w:tcPr>
            <w:tcW w:w="2126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0.5±0.7 median 0</w:t>
            </w:r>
          </w:p>
        </w:tc>
        <w:tc>
          <w:tcPr>
            <w:tcW w:w="1985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3.75±0.9 median 3.5</w:t>
            </w:r>
          </w:p>
        </w:tc>
        <w:tc>
          <w:tcPr>
            <w:tcW w:w="992" w:type="dxa"/>
          </w:tcPr>
          <w:p w:rsidR="0088242C" w:rsidRPr="0045399E" w:rsidRDefault="0088242C" w:rsidP="008824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Neutrophil count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(x10</w:t>
            </w:r>
            <w:r w:rsidRPr="00D41E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/ϻL)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sz w:val="20"/>
                <w:szCs w:val="20"/>
                <w:lang w:val="en-US"/>
              </w:rPr>
            </w:pPr>
            <w:r w:rsidRPr="0045399E">
              <w:rPr>
                <w:sz w:val="20"/>
                <w:szCs w:val="20"/>
                <w:lang w:val="en-US"/>
              </w:rPr>
              <w:t>7.07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±4.73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sz w:val="20"/>
                <w:szCs w:val="20"/>
                <w:lang w:val="en-US"/>
              </w:rPr>
            </w:pPr>
            <w:r w:rsidRPr="0045399E">
              <w:rPr>
                <w:sz w:val="20"/>
                <w:szCs w:val="20"/>
                <w:lang w:val="en-US"/>
              </w:rPr>
              <w:t>6.9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±5.1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sz w:val="20"/>
                <w:szCs w:val="20"/>
                <w:lang w:val="en-US"/>
              </w:rPr>
            </w:pPr>
            <w:r w:rsidRPr="0045399E">
              <w:rPr>
                <w:sz w:val="20"/>
                <w:szCs w:val="20"/>
                <w:lang w:val="en-US"/>
              </w:rPr>
              <w:t>7.7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±3.8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&gt;0.05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Lymphocyte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count </w:t>
            </w: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(x10</w:t>
            </w:r>
            <w:r w:rsidRPr="00D41E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/ϻL)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2.6±1.56 median 2.2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2.77±1.67 median 2.37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2±1.1 median 1.8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0.010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Neutrophil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</w:t>
            </w:r>
            <w:r w:rsidRPr="00F84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lymphocyte ratio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4.06±6.2 median 2.5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3.8±6.8 median 2.1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5.2±4.4 median 4.1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0.013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 positivity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recent infection 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38.9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0.018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IgM positivity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CMV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18.8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0.012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Plasmapheresis usage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27.2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19.4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62.5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0.000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Initial therapy IVMP / IVIG</w:t>
            </w:r>
          </w:p>
          <w:p w:rsidR="00DC283B" w:rsidRPr="0045399E" w:rsidRDefault="00DC283B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DC28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IVMP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132/30 </w:t>
            </w:r>
          </w:p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81.5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102/18</w:t>
            </w:r>
          </w:p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14/8</w:t>
            </w:r>
          </w:p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63.6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0.024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ventilation required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12.4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0.035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Prognosis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 deficit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34.7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79.2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Sensory deficit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8.7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0.03</w:t>
            </w:r>
            <w:r w:rsidR="003A20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B20AA" w:rsidRPr="0045399E" w:rsidTr="00BC24A2">
        <w:tc>
          <w:tcPr>
            <w:tcW w:w="2552" w:type="dxa"/>
          </w:tcPr>
          <w:p w:rsidR="00EB20AA" w:rsidRPr="0045399E" w:rsidRDefault="00EB20AA" w:rsidP="008975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Sphincter involvement (%)</w:t>
            </w:r>
          </w:p>
        </w:tc>
        <w:tc>
          <w:tcPr>
            <w:tcW w:w="1843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2126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</w:t>
            </w:r>
          </w:p>
        </w:tc>
        <w:tc>
          <w:tcPr>
            <w:tcW w:w="992" w:type="dxa"/>
          </w:tcPr>
          <w:p w:rsidR="00EB20AA" w:rsidRPr="0045399E" w:rsidRDefault="00EB20AA" w:rsidP="008975C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5399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0.091</w:t>
            </w:r>
          </w:p>
        </w:tc>
      </w:tr>
    </w:tbl>
    <w:p w:rsidR="00AC08DA" w:rsidRPr="00BE68FF" w:rsidRDefault="00AC08DA" w:rsidP="006864EB">
      <w:pPr>
        <w:spacing w:line="276" w:lineRule="auto"/>
        <w:rPr>
          <w:rFonts w:ascii="Times New Roman" w:hAnsi="Times New Roman" w:cs="Times New Roman"/>
        </w:rPr>
      </w:pPr>
      <w:r w:rsidRPr="00BE68FF">
        <w:rPr>
          <w:rFonts w:ascii="Times New Roman" w:hAnsi="Times New Roman" w:cs="Times New Roman"/>
          <w:lang w:val="en-US"/>
        </w:rPr>
        <w:t>NOTE: Thanks to the</w:t>
      </w:r>
      <w:r w:rsidR="009A2037" w:rsidRPr="00BE68FF">
        <w:rPr>
          <w:rFonts w:ascii="Times New Roman" w:hAnsi="Times New Roman" w:cs="Times New Roman"/>
          <w:lang w:val="en-US"/>
        </w:rPr>
        <w:t xml:space="preserve"> other </w:t>
      </w:r>
      <w:r w:rsidRPr="00BE68FF">
        <w:rPr>
          <w:rFonts w:ascii="Times New Roman" w:hAnsi="Times New Roman" w:cs="Times New Roman"/>
          <w:lang w:val="en-US"/>
        </w:rPr>
        <w:t>members of Turkish Pediatric Transverse Myelitis Study Group</w:t>
      </w:r>
      <w:r w:rsidR="00E9124C" w:rsidRPr="00BE68FF">
        <w:rPr>
          <w:rFonts w:ascii="Times New Roman" w:hAnsi="Times New Roman" w:cs="Times New Roman"/>
          <w:lang w:val="en-US"/>
        </w:rPr>
        <w:t>, whose names are not specified</w:t>
      </w:r>
      <w:r w:rsidR="00F8146C">
        <w:rPr>
          <w:rFonts w:ascii="Times New Roman" w:hAnsi="Times New Roman" w:cs="Times New Roman"/>
          <w:lang w:val="en-US"/>
        </w:rPr>
        <w:t>:</w:t>
      </w:r>
      <w:r w:rsidRPr="00BE68FF">
        <w:rPr>
          <w:rFonts w:ascii="Times New Roman" w:hAnsi="Times New Roman" w:cs="Times New Roman"/>
          <w:lang w:val="en-US"/>
        </w:rPr>
        <w:t xml:space="preserve"> ‘ </w:t>
      </w:r>
      <w:proofErr w:type="spellStart"/>
      <w:r w:rsidR="00E9124C" w:rsidRPr="00BE68FF">
        <w:rPr>
          <w:rFonts w:ascii="Times New Roman" w:hAnsi="Times New Roman" w:cs="Times New Roman"/>
          <w:lang w:val="en-US"/>
        </w:rPr>
        <w:t>Sanem</w:t>
      </w:r>
      <w:proofErr w:type="spellEnd"/>
      <w:r w:rsidR="00E9124C" w:rsidRPr="00BE68FF">
        <w:rPr>
          <w:rFonts w:ascii="Times New Roman" w:hAnsi="Times New Roman" w:cs="Times New Roman"/>
          <w:lang w:val="en-US"/>
        </w:rPr>
        <w:t xml:space="preserve"> Yılmaz, </w:t>
      </w:r>
      <w:proofErr w:type="spellStart"/>
      <w:r w:rsidR="00E9124C" w:rsidRPr="00BE68FF">
        <w:rPr>
          <w:rFonts w:ascii="Times New Roman" w:hAnsi="Times New Roman" w:cs="Times New Roman"/>
          <w:lang w:val="en-US"/>
        </w:rPr>
        <w:t>Nurettin</w:t>
      </w:r>
      <w:proofErr w:type="spellEnd"/>
      <w:r w:rsidR="00E9124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124C" w:rsidRPr="00BE68FF">
        <w:rPr>
          <w:rFonts w:ascii="Times New Roman" w:hAnsi="Times New Roman" w:cs="Times New Roman"/>
          <w:lang w:val="en-US"/>
        </w:rPr>
        <w:t>Alıcı</w:t>
      </w:r>
      <w:proofErr w:type="spellEnd"/>
      <w:r w:rsidR="00E9124C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E5297">
        <w:rPr>
          <w:rFonts w:ascii="Times New Roman" w:hAnsi="Times New Roman" w:cs="Times New Roman"/>
          <w:lang w:val="en-US"/>
        </w:rPr>
        <w:t>Ülkühan</w:t>
      </w:r>
      <w:proofErr w:type="spellEnd"/>
      <w:r w:rsidR="003E52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5297">
        <w:rPr>
          <w:rFonts w:ascii="Times New Roman" w:hAnsi="Times New Roman" w:cs="Times New Roman"/>
          <w:lang w:val="en-US"/>
        </w:rPr>
        <w:t>Öztoprak</w:t>
      </w:r>
      <w:proofErr w:type="spellEnd"/>
      <w:r w:rsidR="003E5297">
        <w:rPr>
          <w:rFonts w:ascii="Times New Roman" w:hAnsi="Times New Roman" w:cs="Times New Roman"/>
          <w:lang w:val="en-US"/>
        </w:rPr>
        <w:t xml:space="preserve">, </w:t>
      </w:r>
      <w:r w:rsidR="00E9124C" w:rsidRPr="00BE68FF">
        <w:rPr>
          <w:rFonts w:ascii="Times New Roman" w:hAnsi="Times New Roman" w:cs="Times New Roman"/>
          <w:lang w:val="en-US"/>
        </w:rPr>
        <w:t xml:space="preserve">Pınar </w:t>
      </w:r>
      <w:proofErr w:type="spellStart"/>
      <w:r w:rsidR="00E9124C" w:rsidRPr="00BE68FF">
        <w:rPr>
          <w:rFonts w:ascii="Times New Roman" w:hAnsi="Times New Roman" w:cs="Times New Roman"/>
          <w:lang w:val="en-US"/>
        </w:rPr>
        <w:t>Gençpınar</w:t>
      </w:r>
      <w:proofErr w:type="spellEnd"/>
      <w:r w:rsidR="00E9124C" w:rsidRPr="00BE68FF">
        <w:rPr>
          <w:rFonts w:ascii="Times New Roman" w:hAnsi="Times New Roman" w:cs="Times New Roman"/>
          <w:lang w:val="en-US"/>
        </w:rPr>
        <w:t>,</w:t>
      </w:r>
      <w:r w:rsidR="00AF1ED0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Didem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Soydemir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Arzu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Ekici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Hande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Tosun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Seda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Kanmaz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, Bilge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Özgör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Deniz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 Yılmaz,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Rıdvan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Avcı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Hilal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1ED0" w:rsidRPr="00BE68FF">
        <w:rPr>
          <w:rFonts w:ascii="Times New Roman" w:hAnsi="Times New Roman" w:cs="Times New Roman"/>
          <w:lang w:val="en-US"/>
        </w:rPr>
        <w:t>Kırkgöz</w:t>
      </w:r>
      <w:proofErr w:type="spellEnd"/>
      <w:r w:rsidR="00AF1ED0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Çetin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Okuyaz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E673A" w:rsidRPr="00BE68FF">
        <w:rPr>
          <w:rFonts w:ascii="Times New Roman" w:hAnsi="Times New Roman" w:cs="Times New Roman"/>
          <w:lang w:val="en-US"/>
        </w:rPr>
        <w:t>Hepsen</w:t>
      </w:r>
      <w:proofErr w:type="spellEnd"/>
      <w:r w:rsidR="009E673A" w:rsidRPr="00BE68FF">
        <w:rPr>
          <w:rFonts w:ascii="Times New Roman" w:hAnsi="Times New Roman" w:cs="Times New Roman"/>
          <w:lang w:val="en-US"/>
        </w:rPr>
        <w:t xml:space="preserve"> Mine </w:t>
      </w:r>
      <w:proofErr w:type="spellStart"/>
      <w:r w:rsidR="009E673A" w:rsidRPr="00BE68FF">
        <w:rPr>
          <w:rFonts w:ascii="Times New Roman" w:hAnsi="Times New Roman" w:cs="Times New Roman"/>
          <w:lang w:val="en-US"/>
        </w:rPr>
        <w:t>Serin</w:t>
      </w:r>
      <w:proofErr w:type="spellEnd"/>
      <w:r w:rsidR="009E673A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8146C">
        <w:rPr>
          <w:rFonts w:ascii="Times New Roman" w:hAnsi="Times New Roman" w:cs="Times New Roman"/>
          <w:lang w:val="en-US"/>
        </w:rPr>
        <w:t>Erhan</w:t>
      </w:r>
      <w:proofErr w:type="spellEnd"/>
      <w:r w:rsidR="00F814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8146C">
        <w:rPr>
          <w:rFonts w:ascii="Times New Roman" w:hAnsi="Times New Roman" w:cs="Times New Roman"/>
          <w:lang w:val="en-US"/>
        </w:rPr>
        <w:t>Aksoy</w:t>
      </w:r>
      <w:proofErr w:type="spellEnd"/>
      <w:r w:rsidR="00F8146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Defne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Alkılıç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50761" w:rsidRPr="00BE68FF">
        <w:rPr>
          <w:rFonts w:ascii="Times New Roman" w:hAnsi="Times New Roman" w:cs="Times New Roman"/>
          <w:lang w:val="en-US"/>
        </w:rPr>
        <w:t>Arzu</w:t>
      </w:r>
      <w:proofErr w:type="spellEnd"/>
      <w:r w:rsidR="00050761" w:rsidRPr="00BE68FF">
        <w:rPr>
          <w:rFonts w:ascii="Times New Roman" w:hAnsi="Times New Roman" w:cs="Times New Roman"/>
          <w:lang w:val="en-US"/>
        </w:rPr>
        <w:t xml:space="preserve"> Yılmaz, </w:t>
      </w:r>
      <w:proofErr w:type="spellStart"/>
      <w:r w:rsidR="00050761" w:rsidRPr="00BE68FF">
        <w:rPr>
          <w:rFonts w:ascii="Times New Roman" w:hAnsi="Times New Roman" w:cs="Times New Roman"/>
          <w:lang w:val="en-US"/>
        </w:rPr>
        <w:t>Dilek</w:t>
      </w:r>
      <w:proofErr w:type="spellEnd"/>
      <w:r w:rsidR="00050761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50761" w:rsidRPr="00BE68FF">
        <w:rPr>
          <w:rFonts w:ascii="Times New Roman" w:hAnsi="Times New Roman" w:cs="Times New Roman"/>
          <w:lang w:val="en-US"/>
        </w:rPr>
        <w:t>Çavuşoğlu</w:t>
      </w:r>
      <w:proofErr w:type="spellEnd"/>
      <w:r w:rsidR="00050761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Senem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Ayça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, Leman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Tekin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Orgun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Esra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Sarıgeçili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Aslı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Kübra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Atasever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Olcay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1DC" w:rsidRPr="00BE68FF">
        <w:rPr>
          <w:rFonts w:ascii="Times New Roman" w:hAnsi="Times New Roman" w:cs="Times New Roman"/>
          <w:lang w:val="en-US"/>
        </w:rPr>
        <w:t>Güngör</w:t>
      </w:r>
      <w:proofErr w:type="spellEnd"/>
      <w:r w:rsidR="006271DC" w:rsidRPr="00BE68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264C5">
        <w:rPr>
          <w:rFonts w:ascii="Times New Roman" w:hAnsi="Times New Roman" w:cs="Times New Roman"/>
          <w:lang w:val="en-US"/>
        </w:rPr>
        <w:t>Kıvılcım</w:t>
      </w:r>
      <w:proofErr w:type="spellEnd"/>
      <w:r w:rsidR="00B264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264C5">
        <w:rPr>
          <w:rFonts w:ascii="Times New Roman" w:hAnsi="Times New Roman" w:cs="Times New Roman"/>
          <w:lang w:val="en-US"/>
        </w:rPr>
        <w:t>Gücüyener</w:t>
      </w:r>
      <w:proofErr w:type="spellEnd"/>
      <w:r w:rsidR="00B264C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264C5" w:rsidRPr="00B264C5">
        <w:rPr>
          <w:rFonts w:ascii="Times New Roman" w:hAnsi="Times New Roman" w:cs="Times New Roman"/>
          <w:lang w:val="en-US"/>
        </w:rPr>
        <w:t>Mutluay</w:t>
      </w:r>
      <w:proofErr w:type="spellEnd"/>
      <w:r w:rsidR="00B264C5" w:rsidRPr="00B264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264C5" w:rsidRPr="00B264C5">
        <w:rPr>
          <w:rFonts w:ascii="Times New Roman" w:hAnsi="Times New Roman" w:cs="Times New Roman"/>
          <w:lang w:val="en-US"/>
        </w:rPr>
        <w:t>Arslan</w:t>
      </w:r>
      <w:proofErr w:type="spellEnd"/>
      <w:r w:rsidR="00B264C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2DF9" w:rsidRPr="00E72DF9">
        <w:rPr>
          <w:rFonts w:ascii="Times New Roman" w:hAnsi="Times New Roman" w:cs="Times New Roman"/>
          <w:lang w:val="en-US"/>
        </w:rPr>
        <w:t>Nergiz</w:t>
      </w:r>
      <w:proofErr w:type="spellEnd"/>
      <w:r w:rsidR="00E72DF9" w:rsidRPr="00E72D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2DF9" w:rsidRPr="00E72DF9">
        <w:rPr>
          <w:rFonts w:ascii="Times New Roman" w:hAnsi="Times New Roman" w:cs="Times New Roman"/>
          <w:lang w:val="en-US"/>
        </w:rPr>
        <w:t>Aliyeva</w:t>
      </w:r>
      <w:proofErr w:type="spellEnd"/>
      <w:r w:rsidR="00E72DF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264C5" w:rsidRPr="00B264C5">
        <w:rPr>
          <w:rFonts w:ascii="Times New Roman" w:hAnsi="Times New Roman" w:cs="Times New Roman"/>
          <w:lang w:val="en-US"/>
        </w:rPr>
        <w:t>Semra</w:t>
      </w:r>
      <w:proofErr w:type="spellEnd"/>
      <w:r w:rsidR="00B264C5" w:rsidRPr="00B264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264C5" w:rsidRPr="00B264C5">
        <w:rPr>
          <w:rFonts w:ascii="Times New Roman" w:hAnsi="Times New Roman" w:cs="Times New Roman"/>
          <w:lang w:val="en-US"/>
        </w:rPr>
        <w:t>Büyükkorkmaz</w:t>
      </w:r>
      <w:proofErr w:type="spellEnd"/>
      <w:r w:rsidR="00B264C5" w:rsidRPr="00B264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264C5" w:rsidRPr="00B264C5">
        <w:rPr>
          <w:rFonts w:ascii="Times New Roman" w:hAnsi="Times New Roman" w:cs="Times New Roman"/>
          <w:lang w:val="en-US"/>
        </w:rPr>
        <w:t>Öztürk</w:t>
      </w:r>
      <w:proofErr w:type="spellEnd"/>
      <w:r w:rsid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A.Semra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Hız</w:t>
      </w:r>
      <w:proofErr w:type="spellEnd"/>
      <w:r w:rsidR="00326D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6DA5" w:rsidRPr="003C0FDB">
        <w:rPr>
          <w:rFonts w:ascii="Times New Roman" w:hAnsi="Times New Roman" w:cs="Times New Roman"/>
          <w:lang w:val="en-US"/>
        </w:rPr>
        <w:t>Kurul</w:t>
      </w:r>
      <w:proofErr w:type="spellEnd"/>
      <w:r w:rsidR="00326DA5" w:rsidRPr="003C0FDB">
        <w:rPr>
          <w:rFonts w:ascii="Times New Roman" w:hAnsi="Times New Roman" w:cs="Times New Roman"/>
          <w:lang w:val="en-US"/>
        </w:rPr>
        <w:t>,</w:t>
      </w:r>
      <w:r w:rsidR="00326DA5">
        <w:rPr>
          <w:rFonts w:ascii="Times New Roman" w:hAnsi="Times New Roman" w:cs="Times New Roman"/>
          <w:lang w:val="en-US"/>
        </w:rPr>
        <w:t xml:space="preserve"> Ali </w:t>
      </w:r>
      <w:proofErr w:type="spellStart"/>
      <w:r w:rsidR="00326DA5">
        <w:rPr>
          <w:rFonts w:ascii="Times New Roman" w:hAnsi="Times New Roman" w:cs="Times New Roman"/>
          <w:lang w:val="en-US"/>
        </w:rPr>
        <w:t>Cansu</w:t>
      </w:r>
      <w:proofErr w:type="spellEnd"/>
      <w:r w:rsidR="00326D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Kürşat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Bora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Çarman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Coşkun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Yarar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Muzaffer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Polat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Ergin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Atasoy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Bahadır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Konuşkan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İsmail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Solmaz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Şeyda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Beşen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E4DBB" w:rsidRPr="003C0FDB">
        <w:rPr>
          <w:rFonts w:ascii="Times New Roman" w:hAnsi="Times New Roman" w:cs="Times New Roman"/>
          <w:lang w:val="en-US"/>
        </w:rPr>
        <w:t>Ercan</w:t>
      </w:r>
      <w:proofErr w:type="spellEnd"/>
      <w:r w:rsidR="001E4DB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4DBB" w:rsidRPr="003C0FDB">
        <w:rPr>
          <w:rFonts w:ascii="Times New Roman" w:hAnsi="Times New Roman" w:cs="Times New Roman"/>
          <w:lang w:val="en-US"/>
        </w:rPr>
        <w:t>Demir</w:t>
      </w:r>
      <w:proofErr w:type="spellEnd"/>
      <w:r w:rsidR="001E4DB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Salih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Akbaş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E4DBB" w:rsidRPr="003C0FDB">
        <w:rPr>
          <w:rFonts w:ascii="Times New Roman" w:hAnsi="Times New Roman" w:cs="Times New Roman"/>
          <w:lang w:val="en-US"/>
        </w:rPr>
        <w:t>Büşra</w:t>
      </w:r>
      <w:proofErr w:type="spellEnd"/>
      <w:r w:rsidR="001E4DB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4DBB" w:rsidRPr="003C0FDB">
        <w:rPr>
          <w:rFonts w:ascii="Times New Roman" w:hAnsi="Times New Roman" w:cs="Times New Roman"/>
          <w:lang w:val="en-US"/>
        </w:rPr>
        <w:t>Kutlubay</w:t>
      </w:r>
      <w:proofErr w:type="spellEnd"/>
      <w:r w:rsidR="001E4DB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Hüseyin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Per, Mehmet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Canpolat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Hakan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Gümüş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Selcan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Öztürk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Çelebi</w:t>
      </w:r>
      <w:proofErr w:type="spellEnd"/>
      <w:r w:rsidR="003C0FDB" w:rsidRPr="003C0F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0FDB" w:rsidRPr="003C0FDB">
        <w:rPr>
          <w:rFonts w:ascii="Times New Roman" w:hAnsi="Times New Roman" w:cs="Times New Roman"/>
          <w:lang w:val="en-US"/>
        </w:rPr>
        <w:t>Yıldırım</w:t>
      </w:r>
      <w:proofErr w:type="spellEnd"/>
      <w:r w:rsidR="003C0FDB">
        <w:rPr>
          <w:rFonts w:ascii="Times New Roman" w:hAnsi="Times New Roman" w:cs="Times New Roman"/>
          <w:lang w:val="en-US"/>
        </w:rPr>
        <w:t>.’</w:t>
      </w:r>
      <w:r w:rsidR="00D9247B">
        <w:rPr>
          <w:rFonts w:ascii="Times New Roman" w:hAnsi="Times New Roman" w:cs="Times New Roman"/>
          <w:lang w:val="en-US"/>
        </w:rPr>
        <w:t xml:space="preserve"> </w:t>
      </w:r>
    </w:p>
    <w:p w:rsidR="00EB20AA" w:rsidRDefault="00B264C5" w:rsidP="00B01F8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1D4B" w:rsidRDefault="005B1D4B" w:rsidP="00B01F8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654"/>
    <w:multiLevelType w:val="hybridMultilevel"/>
    <w:tmpl w:val="106C594E"/>
    <w:lvl w:ilvl="0" w:tplc="34E24DC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C3C95"/>
    <w:multiLevelType w:val="hybridMultilevel"/>
    <w:tmpl w:val="26804AB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D3D4B"/>
    <w:multiLevelType w:val="hybridMultilevel"/>
    <w:tmpl w:val="FF66B1E2"/>
    <w:lvl w:ilvl="0" w:tplc="10EEEC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4CA"/>
    <w:multiLevelType w:val="hybridMultilevel"/>
    <w:tmpl w:val="C0DAE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A8"/>
    <w:rsid w:val="00045F0E"/>
    <w:rsid w:val="00050761"/>
    <w:rsid w:val="00057F90"/>
    <w:rsid w:val="0006011D"/>
    <w:rsid w:val="00061A46"/>
    <w:rsid w:val="00074A3F"/>
    <w:rsid w:val="00081E95"/>
    <w:rsid w:val="000A75A0"/>
    <w:rsid w:val="000C796A"/>
    <w:rsid w:val="000C7CD6"/>
    <w:rsid w:val="000D75EF"/>
    <w:rsid w:val="000E25E2"/>
    <w:rsid w:val="001159FB"/>
    <w:rsid w:val="00122FF5"/>
    <w:rsid w:val="00135EFA"/>
    <w:rsid w:val="00154151"/>
    <w:rsid w:val="00162A7D"/>
    <w:rsid w:val="0017267C"/>
    <w:rsid w:val="001836D2"/>
    <w:rsid w:val="0018500F"/>
    <w:rsid w:val="001923A4"/>
    <w:rsid w:val="001B4496"/>
    <w:rsid w:val="001C2EB3"/>
    <w:rsid w:val="001D6583"/>
    <w:rsid w:val="001E39D9"/>
    <w:rsid w:val="001E4DBB"/>
    <w:rsid w:val="0022799A"/>
    <w:rsid w:val="00236E1E"/>
    <w:rsid w:val="002517CF"/>
    <w:rsid w:val="00255A57"/>
    <w:rsid w:val="00261218"/>
    <w:rsid w:val="002B52F4"/>
    <w:rsid w:val="002E44CA"/>
    <w:rsid w:val="00310B65"/>
    <w:rsid w:val="00326DA5"/>
    <w:rsid w:val="00326F8C"/>
    <w:rsid w:val="003314E8"/>
    <w:rsid w:val="00331AAE"/>
    <w:rsid w:val="00343F56"/>
    <w:rsid w:val="00363622"/>
    <w:rsid w:val="00370AAD"/>
    <w:rsid w:val="00373A81"/>
    <w:rsid w:val="003901B4"/>
    <w:rsid w:val="00392589"/>
    <w:rsid w:val="00392E32"/>
    <w:rsid w:val="003954CE"/>
    <w:rsid w:val="003970C2"/>
    <w:rsid w:val="003A20D4"/>
    <w:rsid w:val="003A7123"/>
    <w:rsid w:val="003C0FDB"/>
    <w:rsid w:val="003C1CE3"/>
    <w:rsid w:val="003D453F"/>
    <w:rsid w:val="003D6732"/>
    <w:rsid w:val="003E5297"/>
    <w:rsid w:val="003F1F3D"/>
    <w:rsid w:val="00415CAC"/>
    <w:rsid w:val="00416224"/>
    <w:rsid w:val="004228A7"/>
    <w:rsid w:val="00437DF3"/>
    <w:rsid w:val="004612C0"/>
    <w:rsid w:val="0046641B"/>
    <w:rsid w:val="00484CE2"/>
    <w:rsid w:val="004C1BC7"/>
    <w:rsid w:val="004D0413"/>
    <w:rsid w:val="004D66A0"/>
    <w:rsid w:val="004F0CF6"/>
    <w:rsid w:val="0050158B"/>
    <w:rsid w:val="005518EE"/>
    <w:rsid w:val="00561E1A"/>
    <w:rsid w:val="0056433B"/>
    <w:rsid w:val="00593503"/>
    <w:rsid w:val="005A009A"/>
    <w:rsid w:val="005B1D4B"/>
    <w:rsid w:val="005C490E"/>
    <w:rsid w:val="005E2E47"/>
    <w:rsid w:val="005F17A8"/>
    <w:rsid w:val="00605C6D"/>
    <w:rsid w:val="006271DC"/>
    <w:rsid w:val="0063690F"/>
    <w:rsid w:val="00666161"/>
    <w:rsid w:val="00671358"/>
    <w:rsid w:val="006855C8"/>
    <w:rsid w:val="006864EB"/>
    <w:rsid w:val="006A3CDA"/>
    <w:rsid w:val="006B1175"/>
    <w:rsid w:val="00746761"/>
    <w:rsid w:val="0078597B"/>
    <w:rsid w:val="00786118"/>
    <w:rsid w:val="00792356"/>
    <w:rsid w:val="007A4C80"/>
    <w:rsid w:val="007B0CD2"/>
    <w:rsid w:val="007B29E5"/>
    <w:rsid w:val="007B74BC"/>
    <w:rsid w:val="007C1A99"/>
    <w:rsid w:val="007C359C"/>
    <w:rsid w:val="007D6F2F"/>
    <w:rsid w:val="007E0E1C"/>
    <w:rsid w:val="007E553D"/>
    <w:rsid w:val="008303D7"/>
    <w:rsid w:val="008450D8"/>
    <w:rsid w:val="00865764"/>
    <w:rsid w:val="00865F0C"/>
    <w:rsid w:val="0088242C"/>
    <w:rsid w:val="008842F6"/>
    <w:rsid w:val="008C3E58"/>
    <w:rsid w:val="008D5F33"/>
    <w:rsid w:val="008E0AF5"/>
    <w:rsid w:val="008E70DF"/>
    <w:rsid w:val="008E7A88"/>
    <w:rsid w:val="008F1EDC"/>
    <w:rsid w:val="00906D68"/>
    <w:rsid w:val="00907703"/>
    <w:rsid w:val="00926F5F"/>
    <w:rsid w:val="00934988"/>
    <w:rsid w:val="00934BBC"/>
    <w:rsid w:val="009431E2"/>
    <w:rsid w:val="0095521E"/>
    <w:rsid w:val="00964B6C"/>
    <w:rsid w:val="00973A44"/>
    <w:rsid w:val="009A2037"/>
    <w:rsid w:val="009E3070"/>
    <w:rsid w:val="009E65B3"/>
    <w:rsid w:val="009E673A"/>
    <w:rsid w:val="00A24AA4"/>
    <w:rsid w:val="00A415FF"/>
    <w:rsid w:val="00A70D45"/>
    <w:rsid w:val="00AC08DA"/>
    <w:rsid w:val="00AC176A"/>
    <w:rsid w:val="00AC17D8"/>
    <w:rsid w:val="00AD4EB2"/>
    <w:rsid w:val="00AE3878"/>
    <w:rsid w:val="00AE7D6B"/>
    <w:rsid w:val="00AF1ED0"/>
    <w:rsid w:val="00AF21A7"/>
    <w:rsid w:val="00B00A62"/>
    <w:rsid w:val="00B01F84"/>
    <w:rsid w:val="00B060DF"/>
    <w:rsid w:val="00B264C5"/>
    <w:rsid w:val="00B379A9"/>
    <w:rsid w:val="00B75E74"/>
    <w:rsid w:val="00B8137C"/>
    <w:rsid w:val="00B9013E"/>
    <w:rsid w:val="00B958F2"/>
    <w:rsid w:val="00BB5C62"/>
    <w:rsid w:val="00BB62AF"/>
    <w:rsid w:val="00BC2425"/>
    <w:rsid w:val="00BC24A2"/>
    <w:rsid w:val="00BD5AE3"/>
    <w:rsid w:val="00BE511F"/>
    <w:rsid w:val="00BE68FF"/>
    <w:rsid w:val="00C00A33"/>
    <w:rsid w:val="00C1645F"/>
    <w:rsid w:val="00C447CA"/>
    <w:rsid w:val="00C45A0A"/>
    <w:rsid w:val="00C50FE2"/>
    <w:rsid w:val="00C5301E"/>
    <w:rsid w:val="00C84CC0"/>
    <w:rsid w:val="00C95AC1"/>
    <w:rsid w:val="00C96834"/>
    <w:rsid w:val="00C97163"/>
    <w:rsid w:val="00CB5348"/>
    <w:rsid w:val="00CB5631"/>
    <w:rsid w:val="00CC24A9"/>
    <w:rsid w:val="00CC6269"/>
    <w:rsid w:val="00CF232E"/>
    <w:rsid w:val="00D00E3E"/>
    <w:rsid w:val="00D13C22"/>
    <w:rsid w:val="00D32FCF"/>
    <w:rsid w:val="00D51341"/>
    <w:rsid w:val="00D51769"/>
    <w:rsid w:val="00D61F29"/>
    <w:rsid w:val="00D651D2"/>
    <w:rsid w:val="00D81DA4"/>
    <w:rsid w:val="00D9247B"/>
    <w:rsid w:val="00D95A8F"/>
    <w:rsid w:val="00DB1530"/>
    <w:rsid w:val="00DC283B"/>
    <w:rsid w:val="00DD5341"/>
    <w:rsid w:val="00DD6964"/>
    <w:rsid w:val="00DF504F"/>
    <w:rsid w:val="00E158FC"/>
    <w:rsid w:val="00E41DD6"/>
    <w:rsid w:val="00E43AC6"/>
    <w:rsid w:val="00E645F7"/>
    <w:rsid w:val="00E72DF9"/>
    <w:rsid w:val="00E80403"/>
    <w:rsid w:val="00E86819"/>
    <w:rsid w:val="00E901FD"/>
    <w:rsid w:val="00E9124C"/>
    <w:rsid w:val="00E95440"/>
    <w:rsid w:val="00EA6FB4"/>
    <w:rsid w:val="00EB20AA"/>
    <w:rsid w:val="00EE2F54"/>
    <w:rsid w:val="00F253D4"/>
    <w:rsid w:val="00F255D4"/>
    <w:rsid w:val="00F52283"/>
    <w:rsid w:val="00F64829"/>
    <w:rsid w:val="00F8146C"/>
    <w:rsid w:val="00FD2F01"/>
    <w:rsid w:val="00FE3901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</cp:lastModifiedBy>
  <cp:revision>34</cp:revision>
  <dcterms:created xsi:type="dcterms:W3CDTF">2022-03-24T12:27:00Z</dcterms:created>
  <dcterms:modified xsi:type="dcterms:W3CDTF">2022-03-24T19:16:00Z</dcterms:modified>
</cp:coreProperties>
</file>